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2227DD" w14:textId="1FB00614" w:rsidR="00EB48DC" w:rsidRPr="008A358F" w:rsidRDefault="00D80FEB" w:rsidP="00EB48DC">
      <w:pPr>
        <w:spacing w:before="300" w:after="150" w:line="360" w:lineRule="auto"/>
        <w:outlineLvl w:val="0"/>
        <w:rPr>
          <w:rFonts w:eastAsia="Times New Roman" w:cstheme="minorHAnsi"/>
          <w:color w:val="333333"/>
          <w:kern w:val="36"/>
          <w:sz w:val="32"/>
          <w:szCs w:val="32"/>
          <w:shd w:val="clear" w:color="auto" w:fill="FFFFFF"/>
          <w:lang w:eastAsia="it-IT"/>
        </w:rPr>
      </w:pPr>
      <w:r w:rsidRPr="008A358F">
        <w:rPr>
          <w:rFonts w:eastAsia="Times New Roman" w:cstheme="minorHAnsi"/>
          <w:color w:val="333333"/>
          <w:kern w:val="36"/>
          <w:sz w:val="32"/>
          <w:szCs w:val="32"/>
          <w:shd w:val="clear" w:color="auto" w:fill="FFFFFF"/>
          <w:lang w:eastAsia="it-IT"/>
        </w:rPr>
        <w:t>1</w:t>
      </w:r>
      <w:r w:rsidR="00EB48DC" w:rsidRPr="008A358F">
        <w:rPr>
          <w:rFonts w:eastAsia="Times New Roman" w:cstheme="minorHAnsi"/>
          <w:color w:val="333333"/>
          <w:kern w:val="36"/>
          <w:sz w:val="32"/>
          <w:szCs w:val="32"/>
          <w:shd w:val="clear" w:color="auto" w:fill="FFFFFF"/>
          <w:lang w:eastAsia="it-IT"/>
        </w:rPr>
        <w:t>Il Rischio Biologico</w:t>
      </w:r>
    </w:p>
    <w:p w14:paraId="42D3AF93" w14:textId="77777777" w:rsidR="00EB48DC" w:rsidRPr="008A358F" w:rsidRDefault="00EB48DC" w:rsidP="00EB48DC">
      <w:pPr>
        <w:shd w:val="clear" w:color="auto" w:fill="FFFFFF"/>
        <w:spacing w:after="150" w:line="360" w:lineRule="auto"/>
        <w:jc w:val="both"/>
        <w:rPr>
          <w:rFonts w:eastAsia="Times New Roman" w:cstheme="minorHAnsi"/>
          <w:color w:val="333333"/>
          <w:sz w:val="32"/>
          <w:szCs w:val="32"/>
          <w:lang w:eastAsia="it-IT"/>
        </w:rPr>
      </w:pPr>
      <w:r w:rsidRPr="008A358F">
        <w:rPr>
          <w:rFonts w:eastAsia="Times New Roman" w:cstheme="minorHAnsi"/>
          <w:color w:val="333333"/>
          <w:sz w:val="32"/>
          <w:szCs w:val="32"/>
          <w:lang w:eastAsia="it-IT"/>
        </w:rPr>
        <w:t>In alcuni casi sottovalutato, in altri sovrastimato, la componente del Rischio Biologico all’interno delle situazioni lavorative non sempre è ben conosciuta, e di conseguenza, correttamente prevenuta.</w:t>
      </w:r>
    </w:p>
    <w:p w14:paraId="31C6FE25" w14:textId="4A0DF366" w:rsidR="00EB48DC" w:rsidRPr="008A358F" w:rsidRDefault="00EB48DC" w:rsidP="00EB48DC">
      <w:pPr>
        <w:shd w:val="clear" w:color="auto" w:fill="FFFFFF"/>
        <w:spacing w:after="150" w:line="360" w:lineRule="auto"/>
        <w:jc w:val="both"/>
        <w:rPr>
          <w:rFonts w:eastAsia="Times New Roman" w:cstheme="minorHAnsi"/>
          <w:color w:val="333333"/>
          <w:sz w:val="32"/>
          <w:szCs w:val="32"/>
          <w:lang w:eastAsia="it-IT"/>
        </w:rPr>
      </w:pPr>
      <w:r w:rsidRPr="008A358F">
        <w:rPr>
          <w:rFonts w:eastAsia="Times New Roman" w:cstheme="minorHAnsi"/>
          <w:color w:val="333333"/>
          <w:sz w:val="32"/>
          <w:szCs w:val="32"/>
          <w:lang w:eastAsia="it-IT"/>
        </w:rPr>
        <w:t>Prima di approfondire tuttavia le tematiche relative alla </w:t>
      </w:r>
      <w:r w:rsidRPr="008A358F">
        <w:rPr>
          <w:rFonts w:eastAsia="Times New Roman" w:cstheme="minorHAnsi"/>
          <w:b/>
          <w:bCs/>
          <w:color w:val="333333"/>
          <w:sz w:val="32"/>
          <w:szCs w:val="32"/>
          <w:lang w:eastAsia="it-IT"/>
        </w:rPr>
        <w:t>corretta prevenzione</w:t>
      </w:r>
      <w:r w:rsidRPr="008A358F">
        <w:rPr>
          <w:rFonts w:eastAsia="Times New Roman" w:cstheme="minorHAnsi"/>
          <w:color w:val="333333"/>
          <w:sz w:val="32"/>
          <w:szCs w:val="32"/>
          <w:lang w:eastAsia="it-IT"/>
        </w:rPr>
        <w:t> è utile ricordare che la </w:t>
      </w:r>
      <w:r w:rsidRPr="008A358F">
        <w:rPr>
          <w:rFonts w:eastAsia="Times New Roman" w:cstheme="minorHAnsi"/>
          <w:b/>
          <w:bCs/>
          <w:color w:val="333333"/>
          <w:sz w:val="32"/>
          <w:szCs w:val="32"/>
          <w:lang w:eastAsia="it-IT"/>
        </w:rPr>
        <w:t>definizione di agente biologico</w:t>
      </w:r>
      <w:r w:rsidRPr="008A358F">
        <w:rPr>
          <w:rFonts w:eastAsia="Times New Roman" w:cstheme="minorHAnsi"/>
          <w:color w:val="333333"/>
          <w:sz w:val="32"/>
          <w:szCs w:val="32"/>
          <w:lang w:eastAsia="it-IT"/>
        </w:rPr>
        <w:t> da </w:t>
      </w:r>
      <w:r w:rsidRPr="008A358F">
        <w:rPr>
          <w:rFonts w:eastAsia="Times New Roman" w:cstheme="minorHAnsi"/>
          <w:b/>
          <w:bCs/>
          <w:color w:val="333333"/>
          <w:sz w:val="32"/>
          <w:szCs w:val="32"/>
          <w:lang w:eastAsia="it-IT"/>
        </w:rPr>
        <w:t xml:space="preserve">art 267 comma a) del </w:t>
      </w:r>
      <w:proofErr w:type="spellStart"/>
      <w:r w:rsidRPr="008A358F">
        <w:rPr>
          <w:rFonts w:eastAsia="Times New Roman" w:cstheme="minorHAnsi"/>
          <w:b/>
          <w:bCs/>
          <w:color w:val="333333"/>
          <w:sz w:val="32"/>
          <w:szCs w:val="32"/>
          <w:lang w:eastAsia="it-IT"/>
        </w:rPr>
        <w:t>D.Lgs</w:t>
      </w:r>
      <w:proofErr w:type="spellEnd"/>
      <w:r w:rsidRPr="008A358F">
        <w:rPr>
          <w:rFonts w:eastAsia="Times New Roman" w:cstheme="minorHAnsi"/>
          <w:b/>
          <w:bCs/>
          <w:color w:val="333333"/>
          <w:sz w:val="32"/>
          <w:szCs w:val="32"/>
          <w:lang w:eastAsia="it-IT"/>
        </w:rPr>
        <w:t xml:space="preserve"> 81/08</w:t>
      </w:r>
      <w:r w:rsidRPr="008A358F">
        <w:rPr>
          <w:rFonts w:eastAsia="Times New Roman" w:cstheme="minorHAnsi"/>
          <w:color w:val="333333"/>
          <w:sz w:val="32"/>
          <w:szCs w:val="32"/>
          <w:lang w:eastAsia="it-IT"/>
        </w:rPr>
        <w:t>, risulta giustamente omnicomprensiva, classificando come agente biologico “</w:t>
      </w:r>
      <w:r w:rsidRPr="008A358F">
        <w:rPr>
          <w:rFonts w:eastAsia="Times New Roman" w:cstheme="minorHAnsi"/>
          <w:i/>
          <w:iCs/>
          <w:color w:val="333333"/>
          <w:sz w:val="32"/>
          <w:szCs w:val="32"/>
          <w:lang w:eastAsia="it-IT"/>
        </w:rPr>
        <w:t>qualsiasi microorganismo, anche se geneticamente modificato, coltura cellulare ed endoparassita umano che potrebbe provocare infezioni, allergie o intossicazioni</w:t>
      </w:r>
      <w:r w:rsidRPr="008A358F">
        <w:rPr>
          <w:rFonts w:eastAsia="Times New Roman" w:cstheme="minorHAnsi"/>
          <w:color w:val="333333"/>
          <w:sz w:val="32"/>
          <w:szCs w:val="32"/>
          <w:lang w:eastAsia="it-IT"/>
        </w:rPr>
        <w:t>”.</w:t>
      </w:r>
    </w:p>
    <w:p w14:paraId="183B351D" w14:textId="77777777" w:rsidR="00B407EC" w:rsidRPr="008A358F" w:rsidRDefault="00B407EC" w:rsidP="00EB48DC">
      <w:pPr>
        <w:shd w:val="clear" w:color="auto" w:fill="FFFFFF"/>
        <w:spacing w:after="150" w:line="360" w:lineRule="auto"/>
        <w:jc w:val="both"/>
        <w:rPr>
          <w:rFonts w:eastAsia="Times New Roman" w:cstheme="minorHAnsi"/>
          <w:color w:val="333333"/>
          <w:sz w:val="32"/>
          <w:szCs w:val="32"/>
          <w:lang w:eastAsia="it-IT"/>
        </w:rPr>
      </w:pPr>
    </w:p>
    <w:p w14:paraId="73A3CD4F" w14:textId="4E97CEB5" w:rsidR="00EB48DC" w:rsidRPr="008A358F" w:rsidRDefault="00EB48DC" w:rsidP="00EB48DC">
      <w:pPr>
        <w:shd w:val="clear" w:color="auto" w:fill="FFFFFF"/>
        <w:spacing w:after="150" w:line="360" w:lineRule="auto"/>
        <w:rPr>
          <w:rFonts w:eastAsia="Times New Roman" w:cstheme="minorHAnsi"/>
          <w:color w:val="333333"/>
          <w:sz w:val="32"/>
          <w:szCs w:val="32"/>
          <w:lang w:eastAsia="it-IT"/>
        </w:rPr>
      </w:pPr>
      <w:r w:rsidRPr="008A358F">
        <w:rPr>
          <w:rFonts w:eastAsia="Times New Roman" w:cstheme="minorHAnsi"/>
          <w:color w:val="333333"/>
          <w:sz w:val="32"/>
          <w:szCs w:val="32"/>
          <w:lang w:eastAsia="it-IT"/>
        </w:rPr>
        <w:t>All’interno di questa definizione ricadono quindi tuti gli </w:t>
      </w:r>
      <w:r w:rsidRPr="008A358F">
        <w:rPr>
          <w:rFonts w:eastAsia="Times New Roman" w:cstheme="minorHAnsi"/>
          <w:b/>
          <w:bCs/>
          <w:color w:val="333333"/>
          <w:sz w:val="32"/>
          <w:szCs w:val="32"/>
          <w:lang w:eastAsia="it-IT"/>
        </w:rPr>
        <w:t>organismi , cellulari o meno (comma b)</w:t>
      </w:r>
      <w:r w:rsidRPr="008A358F">
        <w:rPr>
          <w:rFonts w:eastAsia="Times New Roman" w:cstheme="minorHAnsi"/>
          <w:color w:val="333333"/>
          <w:sz w:val="32"/>
          <w:szCs w:val="32"/>
          <w:lang w:eastAsia="it-IT"/>
        </w:rPr>
        <w:t> in grado di </w:t>
      </w:r>
      <w:r w:rsidRPr="008A358F">
        <w:rPr>
          <w:rFonts w:eastAsia="Times New Roman" w:cstheme="minorHAnsi"/>
          <w:b/>
          <w:bCs/>
          <w:color w:val="333333"/>
          <w:sz w:val="32"/>
          <w:szCs w:val="32"/>
          <w:lang w:eastAsia="it-IT"/>
        </w:rPr>
        <w:t>riprodursi o di</w:t>
      </w:r>
      <w:r w:rsidR="00B407EC" w:rsidRPr="008A358F">
        <w:rPr>
          <w:rFonts w:eastAsia="Times New Roman" w:cstheme="minorHAnsi"/>
          <w:b/>
          <w:bCs/>
          <w:color w:val="333333"/>
          <w:sz w:val="32"/>
          <w:szCs w:val="32"/>
          <w:lang w:eastAsia="it-IT"/>
        </w:rPr>
        <w:t xml:space="preserve"> </w:t>
      </w:r>
      <w:r w:rsidRPr="008A358F">
        <w:rPr>
          <w:rFonts w:eastAsia="Times New Roman" w:cstheme="minorHAnsi"/>
          <w:b/>
          <w:bCs/>
          <w:color w:val="333333"/>
          <w:sz w:val="32"/>
          <w:szCs w:val="32"/>
          <w:lang w:eastAsia="it-IT"/>
        </w:rPr>
        <w:t>trasferire</w:t>
      </w:r>
      <w:r w:rsidRPr="008A358F">
        <w:rPr>
          <w:rFonts w:eastAsia="Times New Roman" w:cstheme="minorHAnsi"/>
          <w:color w:val="333333"/>
          <w:sz w:val="32"/>
          <w:szCs w:val="32"/>
          <w:lang w:eastAsia="it-IT"/>
        </w:rPr>
        <w:t xml:space="preserve"> materiale genetico; si parla dunque di batteri, virus, funghi, e relative tossine; entità biologiche </w:t>
      </w:r>
      <w:proofErr w:type="spellStart"/>
      <w:r w:rsidRPr="008A358F">
        <w:rPr>
          <w:rFonts w:eastAsia="Times New Roman" w:cstheme="minorHAnsi"/>
          <w:color w:val="333333"/>
          <w:sz w:val="32"/>
          <w:szCs w:val="32"/>
          <w:lang w:eastAsia="it-IT"/>
        </w:rPr>
        <w:t>ubiquitariamente</w:t>
      </w:r>
      <w:proofErr w:type="spellEnd"/>
      <w:r w:rsidRPr="008A358F">
        <w:rPr>
          <w:rFonts w:eastAsia="Times New Roman" w:cstheme="minorHAnsi"/>
          <w:color w:val="333333"/>
          <w:sz w:val="32"/>
          <w:szCs w:val="32"/>
          <w:lang w:eastAsia="it-IT"/>
        </w:rPr>
        <w:t xml:space="preserve"> diffuse in qualsiasi ambiente lavorativo e non.</w:t>
      </w:r>
      <w:r w:rsidRPr="008A358F">
        <w:rPr>
          <w:rFonts w:eastAsia="Times New Roman" w:cstheme="minorHAnsi"/>
          <w:color w:val="333333"/>
          <w:sz w:val="32"/>
          <w:szCs w:val="32"/>
          <w:lang w:eastAsia="it-IT"/>
        </w:rPr>
        <w:br/>
        <w:t>Esistono tuttavia, come ben noto, </w:t>
      </w:r>
      <w:r w:rsidRPr="008A358F">
        <w:rPr>
          <w:rFonts w:eastAsia="Times New Roman" w:cstheme="minorHAnsi"/>
          <w:b/>
          <w:bCs/>
          <w:color w:val="333333"/>
          <w:sz w:val="32"/>
          <w:szCs w:val="32"/>
          <w:lang w:eastAsia="it-IT"/>
        </w:rPr>
        <w:t>diversi gradi ti patogenicità e di virulenza</w:t>
      </w:r>
      <w:r w:rsidRPr="008A358F">
        <w:rPr>
          <w:rFonts w:eastAsia="Times New Roman" w:cstheme="minorHAnsi"/>
          <w:color w:val="333333"/>
          <w:sz w:val="32"/>
          <w:szCs w:val="32"/>
          <w:lang w:eastAsia="it-IT"/>
        </w:rPr>
        <w:t xml:space="preserve">, correlati anche a diversi scenari espositivi e vie di trasmissione; la classificazione di pericolosità degli agenti biologici tiene conto di tutte queste caratteristiche, mettendo in cima alla lista dei microorganismi più pericolosi, quelli con elevata virulenza (capacità di trasmettersi) associata ad elevata patogenicità (potenzialità di causare malattie una volta in contatto con l’organismo ospite). </w:t>
      </w:r>
    </w:p>
    <w:p w14:paraId="3A109FD1" w14:textId="6E2FD506" w:rsidR="00EB48DC" w:rsidRPr="008A358F" w:rsidRDefault="00EB48DC" w:rsidP="00EB48DC">
      <w:pPr>
        <w:shd w:val="clear" w:color="auto" w:fill="FFFFFF"/>
        <w:spacing w:after="150" w:line="360" w:lineRule="auto"/>
        <w:rPr>
          <w:rFonts w:eastAsia="Times New Roman" w:cstheme="minorHAnsi"/>
          <w:color w:val="333333"/>
          <w:sz w:val="32"/>
          <w:szCs w:val="32"/>
          <w:lang w:eastAsia="it-IT"/>
        </w:rPr>
      </w:pPr>
      <w:r w:rsidRPr="008A358F">
        <w:rPr>
          <w:rFonts w:eastAsia="Times New Roman" w:cstheme="minorHAnsi"/>
          <w:color w:val="333333"/>
          <w:sz w:val="32"/>
          <w:szCs w:val="32"/>
          <w:lang w:eastAsia="it-IT"/>
        </w:rPr>
        <w:lastRenderedPageBreak/>
        <w:t>Risulta quindi evidente come </w:t>
      </w:r>
      <w:r w:rsidRPr="008A358F">
        <w:rPr>
          <w:rFonts w:eastAsia="Times New Roman" w:cstheme="minorHAnsi"/>
          <w:b/>
          <w:bCs/>
          <w:color w:val="333333"/>
          <w:sz w:val="32"/>
          <w:szCs w:val="32"/>
          <w:lang w:eastAsia="it-IT"/>
        </w:rPr>
        <w:t>una corretta valutazione del Rischio Biologico</w:t>
      </w:r>
      <w:r w:rsidRPr="008A358F">
        <w:rPr>
          <w:rFonts w:eastAsia="Times New Roman" w:cstheme="minorHAnsi"/>
          <w:color w:val="333333"/>
          <w:sz w:val="32"/>
          <w:szCs w:val="32"/>
          <w:lang w:eastAsia="it-IT"/>
        </w:rPr>
        <w:t> debba tenere conto sia della pericolosità intrinseca del microorganismo eventualmente presente, che della possibilità che questo venga in qualche modo trasmesso ai lavoratori.</w:t>
      </w:r>
    </w:p>
    <w:p w14:paraId="3C0C3912" w14:textId="77777777" w:rsidR="00EB48DC" w:rsidRPr="008A358F" w:rsidRDefault="00EB48DC" w:rsidP="00EB48DC">
      <w:pPr>
        <w:shd w:val="clear" w:color="auto" w:fill="FFFFFF"/>
        <w:spacing w:after="150" w:line="360" w:lineRule="auto"/>
        <w:rPr>
          <w:rFonts w:eastAsia="Times New Roman" w:cstheme="minorHAnsi"/>
          <w:color w:val="333333"/>
          <w:sz w:val="32"/>
          <w:szCs w:val="32"/>
          <w:lang w:eastAsia="it-IT"/>
        </w:rPr>
      </w:pPr>
    </w:p>
    <w:p w14:paraId="71C0F1B3" w14:textId="62E1E46D" w:rsidR="00EB48DC" w:rsidRPr="008A358F" w:rsidRDefault="00EB48DC" w:rsidP="00EB48DC">
      <w:pPr>
        <w:shd w:val="clear" w:color="auto" w:fill="FFFFFF"/>
        <w:spacing w:after="150" w:line="360" w:lineRule="auto"/>
        <w:rPr>
          <w:rFonts w:eastAsia="Times New Roman" w:cstheme="minorHAnsi"/>
          <w:color w:val="333333"/>
          <w:sz w:val="32"/>
          <w:szCs w:val="32"/>
          <w:lang w:eastAsia="it-IT"/>
        </w:rPr>
      </w:pPr>
      <w:r w:rsidRPr="008A358F">
        <w:rPr>
          <w:rFonts w:eastAsia="Times New Roman" w:cstheme="minorHAnsi"/>
          <w:b/>
          <w:bCs/>
          <w:color w:val="333333"/>
          <w:sz w:val="32"/>
          <w:szCs w:val="32"/>
          <w:lang w:eastAsia="it-IT"/>
        </w:rPr>
        <w:t>Le aziende a rischio biologico</w:t>
      </w:r>
      <w:r w:rsidRPr="008A358F">
        <w:rPr>
          <w:rFonts w:eastAsia="Times New Roman" w:cstheme="minorHAnsi"/>
          <w:color w:val="333333"/>
          <w:sz w:val="32"/>
          <w:szCs w:val="32"/>
          <w:lang w:eastAsia="it-IT"/>
        </w:rPr>
        <w:t> sono sostanzialmente di </w:t>
      </w:r>
      <w:r w:rsidRPr="008A358F">
        <w:rPr>
          <w:rFonts w:eastAsia="Times New Roman" w:cstheme="minorHAnsi"/>
          <w:b/>
          <w:bCs/>
          <w:color w:val="333333"/>
          <w:sz w:val="32"/>
          <w:szCs w:val="32"/>
          <w:lang w:eastAsia="it-IT"/>
        </w:rPr>
        <w:t>due tipi</w:t>
      </w:r>
      <w:r w:rsidRPr="008A358F">
        <w:rPr>
          <w:rFonts w:eastAsia="Times New Roman" w:cstheme="minorHAnsi"/>
          <w:color w:val="333333"/>
          <w:sz w:val="32"/>
          <w:szCs w:val="32"/>
          <w:lang w:eastAsia="it-IT"/>
        </w:rPr>
        <w:t>: quelle che utilizzano deliberatamente per le proprie attività organismi biologici, per esempio i </w:t>
      </w:r>
      <w:r w:rsidRPr="008A358F">
        <w:rPr>
          <w:rFonts w:eastAsia="Times New Roman" w:cstheme="minorHAnsi"/>
          <w:b/>
          <w:bCs/>
          <w:color w:val="333333"/>
          <w:sz w:val="32"/>
          <w:szCs w:val="32"/>
          <w:lang w:eastAsia="it-IT"/>
        </w:rPr>
        <w:t>laboratori</w:t>
      </w:r>
      <w:r w:rsidRPr="008A358F">
        <w:rPr>
          <w:rFonts w:eastAsia="Times New Roman" w:cstheme="minorHAnsi"/>
          <w:color w:val="333333"/>
          <w:sz w:val="32"/>
          <w:szCs w:val="32"/>
          <w:lang w:eastAsia="it-IT"/>
        </w:rPr>
        <w:t> di ricerca biotecnologica, le aziende farmaceutiche, le </w:t>
      </w:r>
      <w:r w:rsidRPr="008A358F">
        <w:rPr>
          <w:rFonts w:eastAsia="Times New Roman" w:cstheme="minorHAnsi"/>
          <w:b/>
          <w:bCs/>
          <w:color w:val="333333"/>
          <w:sz w:val="32"/>
          <w:szCs w:val="32"/>
          <w:lang w:eastAsia="it-IT"/>
        </w:rPr>
        <w:t>aziende agro alimentari</w:t>
      </w:r>
      <w:r w:rsidRPr="008A358F">
        <w:rPr>
          <w:rFonts w:eastAsia="Times New Roman" w:cstheme="minorHAnsi"/>
          <w:color w:val="333333"/>
          <w:sz w:val="32"/>
          <w:szCs w:val="32"/>
          <w:lang w:eastAsia="it-IT"/>
        </w:rPr>
        <w:t> o quelle che lavorano nel campo del </w:t>
      </w:r>
      <w:hyperlink r:id="rId4" w:history="1">
        <w:r w:rsidRPr="008A358F">
          <w:rPr>
            <w:rFonts w:eastAsia="Times New Roman" w:cstheme="minorHAnsi"/>
            <w:b/>
            <w:bCs/>
            <w:color w:val="008000"/>
            <w:sz w:val="32"/>
            <w:szCs w:val="32"/>
            <w:u w:val="single"/>
            <w:lang w:eastAsia="it-IT"/>
          </w:rPr>
          <w:t>trattamento dei rifiuti</w:t>
        </w:r>
      </w:hyperlink>
      <w:r w:rsidRPr="008A358F">
        <w:rPr>
          <w:rFonts w:eastAsia="Times New Roman" w:cstheme="minorHAnsi"/>
          <w:color w:val="333333"/>
          <w:sz w:val="32"/>
          <w:szCs w:val="32"/>
          <w:lang w:eastAsia="it-IT"/>
        </w:rPr>
        <w:t xml:space="preserve">; </w:t>
      </w:r>
      <w:r w:rsidR="008A358F">
        <w:rPr>
          <w:rFonts w:eastAsia="Times New Roman" w:cstheme="minorHAnsi"/>
          <w:color w:val="333333"/>
          <w:sz w:val="32"/>
          <w:szCs w:val="32"/>
          <w:lang w:eastAsia="it-IT"/>
        </w:rPr>
        <w:t xml:space="preserve"> </w:t>
      </w:r>
      <w:r w:rsidRPr="008A358F">
        <w:rPr>
          <w:rFonts w:eastAsia="Times New Roman" w:cstheme="minorHAnsi"/>
          <w:color w:val="333333"/>
          <w:sz w:val="32"/>
          <w:szCs w:val="32"/>
          <w:lang w:eastAsia="it-IT"/>
        </w:rPr>
        <w:t>e quelle invece che non fanno uso deliberato di agenti biologici ma che potenzialmente potrebbero comunque entrare in contatto con qualcuno di essi (</w:t>
      </w:r>
      <w:hyperlink r:id="rId5" w:history="1">
        <w:r w:rsidRPr="008A358F">
          <w:rPr>
            <w:rFonts w:eastAsia="Times New Roman" w:cstheme="minorHAnsi"/>
            <w:b/>
            <w:bCs/>
            <w:color w:val="008000"/>
            <w:sz w:val="32"/>
            <w:szCs w:val="32"/>
            <w:u w:val="single"/>
            <w:lang w:eastAsia="it-IT"/>
          </w:rPr>
          <w:t>ospedali</w:t>
        </w:r>
      </w:hyperlink>
      <w:r w:rsidRPr="008A358F">
        <w:rPr>
          <w:rFonts w:eastAsia="Times New Roman" w:cstheme="minorHAnsi"/>
          <w:b/>
          <w:bCs/>
          <w:color w:val="333333"/>
          <w:sz w:val="32"/>
          <w:szCs w:val="32"/>
          <w:lang w:eastAsia="it-IT"/>
        </w:rPr>
        <w:t>, aziende zootecniche, alimentari</w:t>
      </w:r>
      <w:r w:rsidRPr="008A358F">
        <w:rPr>
          <w:rFonts w:eastAsia="Times New Roman" w:cstheme="minorHAnsi"/>
          <w:color w:val="333333"/>
          <w:sz w:val="32"/>
          <w:szCs w:val="32"/>
          <w:lang w:eastAsia="it-IT"/>
        </w:rPr>
        <w:t>, e tutte quelle attività in generale in cui vi sia contatto interpersonale con un significativo numero di individui).</w:t>
      </w:r>
    </w:p>
    <w:p w14:paraId="2ACFEE9E" w14:textId="120559CA" w:rsidR="00EB48DC" w:rsidRPr="008A358F" w:rsidRDefault="00EB48DC" w:rsidP="00EB48DC">
      <w:pPr>
        <w:shd w:val="clear" w:color="auto" w:fill="FFFFFF"/>
        <w:spacing w:after="150" w:line="360" w:lineRule="auto"/>
        <w:rPr>
          <w:rFonts w:eastAsia="Times New Roman" w:cstheme="minorHAnsi"/>
          <w:color w:val="333333"/>
          <w:sz w:val="32"/>
          <w:szCs w:val="32"/>
          <w:lang w:eastAsia="it-IT"/>
        </w:rPr>
      </w:pPr>
      <w:r w:rsidRPr="008A358F">
        <w:rPr>
          <w:rFonts w:eastAsia="Times New Roman" w:cstheme="minorHAnsi"/>
          <w:color w:val="333333"/>
          <w:sz w:val="32"/>
          <w:szCs w:val="32"/>
          <w:lang w:eastAsia="it-IT"/>
        </w:rPr>
        <w:br/>
        <w:t>Non è da trascurare infatti la considerazione che la principale via di trasmissione di un agente biologico è quella indiretta, veicolata cioè da un vettore che trasferisce da un individuo malato o potatore, ad uno sano, la carica batterica o virale necessaria per dare origine alla malattia; </w:t>
      </w:r>
      <w:r w:rsidRPr="008A358F">
        <w:rPr>
          <w:rFonts w:eastAsia="Times New Roman" w:cstheme="minorHAnsi"/>
          <w:b/>
          <w:bCs/>
          <w:color w:val="333333"/>
          <w:sz w:val="32"/>
          <w:szCs w:val="32"/>
          <w:lang w:eastAsia="it-IT"/>
        </w:rPr>
        <w:t>i luoghi pubblici, i supermercati</w:t>
      </w:r>
      <w:r w:rsidRPr="008A358F">
        <w:rPr>
          <w:rFonts w:eastAsia="Times New Roman" w:cstheme="minorHAnsi"/>
          <w:color w:val="333333"/>
          <w:sz w:val="32"/>
          <w:szCs w:val="32"/>
          <w:lang w:eastAsia="it-IT"/>
        </w:rPr>
        <w:t>, piuttosto che gli aeroporti o i luoghi con grande affluenza di persone, sono sempre da considerarsi potenzialmente a rischio biologico, e quindi da sottoporre ad adeguata prevenzione e sorveglianza.</w:t>
      </w:r>
    </w:p>
    <w:p w14:paraId="0601E723" w14:textId="659A717F" w:rsidR="00EB48DC" w:rsidRPr="008A358F" w:rsidRDefault="00EB48DC" w:rsidP="00EB48DC">
      <w:pPr>
        <w:shd w:val="clear" w:color="auto" w:fill="FFFFFF"/>
        <w:spacing w:after="150" w:line="360" w:lineRule="auto"/>
        <w:rPr>
          <w:rFonts w:eastAsia="Times New Roman" w:cstheme="minorHAnsi"/>
          <w:color w:val="333333"/>
          <w:sz w:val="32"/>
          <w:szCs w:val="32"/>
          <w:lang w:eastAsia="it-IT"/>
        </w:rPr>
      </w:pPr>
      <w:r w:rsidRPr="008A358F">
        <w:rPr>
          <w:rFonts w:eastAsia="Times New Roman" w:cstheme="minorHAnsi"/>
          <w:color w:val="333333"/>
          <w:sz w:val="32"/>
          <w:szCs w:val="32"/>
          <w:lang w:eastAsia="it-IT"/>
        </w:rPr>
        <w:lastRenderedPageBreak/>
        <w:t>Per quanto concerne </w:t>
      </w:r>
      <w:r w:rsidRPr="008A358F">
        <w:rPr>
          <w:rFonts w:eastAsia="Times New Roman" w:cstheme="minorHAnsi"/>
          <w:b/>
          <w:bCs/>
          <w:color w:val="333333"/>
          <w:sz w:val="32"/>
          <w:szCs w:val="32"/>
          <w:lang w:eastAsia="it-IT"/>
        </w:rPr>
        <w:t>la prevenzione</w:t>
      </w:r>
      <w:r w:rsidRPr="008A358F">
        <w:rPr>
          <w:rFonts w:eastAsia="Times New Roman" w:cstheme="minorHAnsi"/>
          <w:color w:val="333333"/>
          <w:sz w:val="32"/>
          <w:szCs w:val="32"/>
          <w:lang w:eastAsia="it-IT"/>
        </w:rPr>
        <w:t>, un aspetto fondamentale è quello dell’</w:t>
      </w:r>
      <w:r w:rsidRPr="008A358F">
        <w:rPr>
          <w:rFonts w:eastAsia="Times New Roman" w:cstheme="minorHAnsi"/>
          <w:b/>
          <w:bCs/>
          <w:color w:val="333333"/>
          <w:sz w:val="32"/>
          <w:szCs w:val="32"/>
          <w:lang w:eastAsia="it-IT"/>
        </w:rPr>
        <w:t>attenzione alla formazione del personale</w:t>
      </w:r>
      <w:r w:rsidRPr="008A358F">
        <w:rPr>
          <w:rFonts w:eastAsia="Times New Roman" w:cstheme="minorHAnsi"/>
          <w:color w:val="333333"/>
          <w:sz w:val="32"/>
          <w:szCs w:val="32"/>
          <w:lang w:eastAsia="it-IT"/>
        </w:rPr>
        <w:t> potenzialmente esposto, che deve essere messo sempre a conoscenza sia delle potenziali sorgenti di infezioni (dirette o veicolate che siano) che dei possibili rischi da esposizione; </w:t>
      </w:r>
      <w:r w:rsidRPr="008A358F">
        <w:rPr>
          <w:rFonts w:eastAsia="Times New Roman" w:cstheme="minorHAnsi"/>
          <w:b/>
          <w:bCs/>
          <w:color w:val="333333"/>
          <w:sz w:val="32"/>
          <w:szCs w:val="32"/>
          <w:lang w:eastAsia="it-IT"/>
        </w:rPr>
        <w:t>una buona profilassi</w:t>
      </w:r>
      <w:r w:rsidRPr="008A358F">
        <w:rPr>
          <w:rFonts w:eastAsia="Times New Roman" w:cstheme="minorHAnsi"/>
          <w:color w:val="333333"/>
          <w:sz w:val="32"/>
          <w:szCs w:val="32"/>
          <w:lang w:eastAsia="it-IT"/>
        </w:rPr>
        <w:t> può tenere conto della somministrazione di opportuni vaccini, così come dell’utilizzo di adeguati dispositivi di protezione collettiva e individuale.</w:t>
      </w:r>
      <w:r w:rsidRPr="008A358F">
        <w:rPr>
          <w:rFonts w:eastAsia="Times New Roman" w:cstheme="minorHAnsi"/>
          <w:color w:val="333333"/>
          <w:sz w:val="32"/>
          <w:szCs w:val="32"/>
          <w:lang w:eastAsia="it-IT"/>
        </w:rPr>
        <w:br/>
        <w:t>Per le aziende a rischio biologico è inoltre obbligatoria la </w:t>
      </w:r>
      <w:r w:rsidRPr="008A358F">
        <w:rPr>
          <w:rFonts w:eastAsia="Times New Roman" w:cstheme="minorHAnsi"/>
          <w:b/>
          <w:bCs/>
          <w:color w:val="333333"/>
          <w:sz w:val="32"/>
          <w:szCs w:val="32"/>
          <w:lang w:eastAsia="it-IT"/>
        </w:rPr>
        <w:t>sorveglianza sanitaria</w:t>
      </w:r>
      <w:r w:rsidRPr="008A358F">
        <w:rPr>
          <w:rFonts w:eastAsia="Times New Roman" w:cstheme="minorHAnsi"/>
          <w:color w:val="333333"/>
          <w:sz w:val="32"/>
          <w:szCs w:val="32"/>
          <w:lang w:eastAsia="it-IT"/>
        </w:rPr>
        <w:t>, che comprenda l’effettuazione di monitoraggi biologici periodici, definiti dal </w:t>
      </w:r>
      <w:hyperlink r:id="rId6" w:tgtFrame="_blank" w:tooltip="medico competente" w:history="1">
        <w:r w:rsidRPr="008A358F">
          <w:rPr>
            <w:rFonts w:eastAsia="Times New Roman" w:cstheme="minorHAnsi"/>
            <w:color w:val="008000"/>
            <w:sz w:val="32"/>
            <w:szCs w:val="32"/>
            <w:u w:val="single"/>
            <w:lang w:eastAsia="it-IT"/>
          </w:rPr>
          <w:t>Medico Competente</w:t>
        </w:r>
      </w:hyperlink>
      <w:r w:rsidRPr="008A358F">
        <w:rPr>
          <w:rFonts w:eastAsia="Times New Roman" w:cstheme="minorHAnsi"/>
          <w:color w:val="333333"/>
          <w:sz w:val="32"/>
          <w:szCs w:val="32"/>
          <w:lang w:eastAsia="it-IT"/>
        </w:rPr>
        <w:t> e dal </w:t>
      </w:r>
      <w:hyperlink r:id="rId7" w:tgtFrame="_blank" w:history="1">
        <w:r w:rsidRPr="008A358F">
          <w:rPr>
            <w:rFonts w:eastAsia="Times New Roman" w:cstheme="minorHAnsi"/>
            <w:color w:val="008000"/>
            <w:sz w:val="32"/>
            <w:szCs w:val="32"/>
            <w:u w:val="single"/>
            <w:lang w:eastAsia="it-IT"/>
          </w:rPr>
          <w:t>datore di Lavoro, </w:t>
        </w:r>
      </w:hyperlink>
      <w:r w:rsidRPr="008A358F">
        <w:rPr>
          <w:rFonts w:eastAsia="Times New Roman" w:cstheme="minorHAnsi"/>
          <w:color w:val="333333"/>
          <w:sz w:val="32"/>
          <w:szCs w:val="32"/>
          <w:lang w:eastAsia="it-IT"/>
        </w:rPr>
        <w:t>sulla base degli scenari di esposizione specifici, i cui risultati devono essere comunicati al lavoratore esposto.</w:t>
      </w:r>
    </w:p>
    <w:sectPr w:rsidR="00EB48DC" w:rsidRPr="008A358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59C"/>
    <w:rsid w:val="004D3A91"/>
    <w:rsid w:val="004E40ED"/>
    <w:rsid w:val="008A358F"/>
    <w:rsid w:val="009611BB"/>
    <w:rsid w:val="00B407EC"/>
    <w:rsid w:val="00D80FEB"/>
    <w:rsid w:val="00D97B04"/>
    <w:rsid w:val="00DE359C"/>
    <w:rsid w:val="00EB48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AC95F"/>
  <w15:chartTrackingRefBased/>
  <w15:docId w15:val="{95E2AD7E-1390-43CF-A4A1-2D13ABFA8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5590936">
      <w:bodyDiv w:val="1"/>
      <w:marLeft w:val="0"/>
      <w:marRight w:val="0"/>
      <w:marTop w:val="0"/>
      <w:marBottom w:val="0"/>
      <w:divBdr>
        <w:top w:val="none" w:sz="0" w:space="0" w:color="auto"/>
        <w:left w:val="none" w:sz="0" w:space="0" w:color="auto"/>
        <w:bottom w:val="none" w:sz="0" w:space="0" w:color="auto"/>
        <w:right w:val="none" w:sz="0" w:space="0" w:color="auto"/>
      </w:divBdr>
      <w:divsChild>
        <w:div w:id="13916598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anfos.it/sicurezza/datore-di-lavor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nfos.it/sicurezza/medico-competente/" TargetMode="External"/><Relationship Id="rId5" Type="http://schemas.openxmlformats.org/officeDocument/2006/relationships/hyperlink" Target="https://www.anfos.it/sicurezza/ospedali/" TargetMode="External"/><Relationship Id="rId4" Type="http://schemas.openxmlformats.org/officeDocument/2006/relationships/hyperlink" Target="https://www.anfos.it/sicurezza/smaltimento-rifiuti/" TargetMode="Externa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3</Pages>
  <Words>585</Words>
  <Characters>3335</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Studio Gentile</dc:creator>
  <cp:keywords/>
  <dc:description/>
  <cp:lastModifiedBy>Studio Gentile</cp:lastModifiedBy>
  <cp:revision>8</cp:revision>
  <dcterms:created xsi:type="dcterms:W3CDTF">2020-06-12T08:20:00Z</dcterms:created>
  <dcterms:modified xsi:type="dcterms:W3CDTF">2020-06-15T09:41:00Z</dcterms:modified>
</cp:coreProperties>
</file>